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2C4" w:rsidRDefault="009642C4" w:rsidP="009642C4">
      <w:pPr>
        <w:jc w:val="left"/>
        <w:rPr>
          <w:rFonts w:ascii="仿宋" w:eastAsia="仿宋" w:hAnsi="仿宋" w:cs="仿宋"/>
          <w:b/>
          <w:bCs/>
          <w:sz w:val="28"/>
          <w:szCs w:val="28"/>
        </w:rPr>
      </w:pPr>
      <w:r>
        <w:rPr>
          <w:rFonts w:ascii="Microsoft YaHei UI" w:eastAsia="Microsoft YaHei UI" w:hAnsi="Microsoft YaHei UI" w:hint="eastAsia"/>
          <w:color w:val="FFFFFF"/>
          <w:sz w:val="30"/>
          <w:szCs w:val="30"/>
          <w:shd w:val="clear" w:color="auto" w:fill="7EB5E0"/>
        </w:rPr>
        <w:t>存量房交易资金监管业务介绍</w:t>
      </w:r>
    </w:p>
    <w:p w:rsidR="009642C4" w:rsidRDefault="009642C4" w:rsidP="009642C4">
      <w:pPr>
        <w:ind w:firstLine="709"/>
        <w:jc w:val="left"/>
        <w:rPr>
          <w:rFonts w:ascii="仿宋" w:eastAsia="仿宋" w:hAnsi="仿宋" w:cs="仿宋"/>
          <w:b/>
          <w:bCs/>
          <w:sz w:val="28"/>
          <w:szCs w:val="28"/>
        </w:rPr>
      </w:pPr>
      <w:r>
        <w:rPr>
          <w:rFonts w:ascii="仿宋" w:eastAsia="仿宋" w:hAnsi="仿宋" w:cs="仿宋" w:hint="eastAsia"/>
          <w:b/>
          <w:bCs/>
          <w:sz w:val="28"/>
          <w:szCs w:val="28"/>
        </w:rPr>
        <w:t>无抵押业务及流程介绍：</w:t>
      </w:r>
    </w:p>
    <w:p w:rsidR="009642C4" w:rsidRDefault="009642C4" w:rsidP="009642C4">
      <w:pPr>
        <w:ind w:firstLine="709"/>
        <w:rPr>
          <w:rFonts w:ascii="仿宋" w:eastAsia="仿宋" w:hAnsi="仿宋" w:cs="仿宋"/>
          <w:sz w:val="28"/>
          <w:szCs w:val="28"/>
        </w:rPr>
      </w:pPr>
      <w:r>
        <w:rPr>
          <w:rFonts w:ascii="仿宋" w:eastAsia="仿宋" w:hAnsi="仿宋" w:cs="仿宋" w:hint="eastAsia"/>
          <w:sz w:val="28"/>
          <w:szCs w:val="28"/>
        </w:rPr>
        <w:t>过户交易前未设立抵押的房产，可通过自有资金监管或贷款监管的模式，过户前交易双方签订《</w:t>
      </w:r>
      <w:r>
        <w:rPr>
          <w:rFonts w:ascii="仿宋" w:eastAsia="仿宋" w:hAnsi="仿宋" w:cs="仿宋" w:hint="eastAsia"/>
          <w:color w:val="000000"/>
          <w:sz w:val="28"/>
          <w:szCs w:val="28"/>
        </w:rPr>
        <w:t>存量房资金监管协议</w:t>
      </w:r>
      <w:r>
        <w:rPr>
          <w:rFonts w:ascii="仿宋" w:eastAsia="仿宋" w:hAnsi="仿宋" w:cs="仿宋" w:hint="eastAsia"/>
          <w:sz w:val="28"/>
          <w:szCs w:val="28"/>
        </w:rPr>
        <w:t>》并缴入监管资金，过户后待完成转移登记将监管资金划付给卖方，如贷款资金监管需在过户后、转移登记前由贷款银行先行将贷款资金发放至监管账户。</w:t>
      </w:r>
    </w:p>
    <w:p w:rsidR="009642C4" w:rsidRDefault="009642C4" w:rsidP="009642C4">
      <w:pPr>
        <w:ind w:firstLine="709"/>
        <w:jc w:val="left"/>
        <w:rPr>
          <w:rFonts w:ascii="仿宋" w:eastAsia="仿宋" w:hAnsi="仿宋" w:cs="仿宋"/>
          <w:b/>
          <w:bCs/>
          <w:sz w:val="28"/>
          <w:szCs w:val="28"/>
        </w:rPr>
      </w:pP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买卖双方签订买卖合同及资金监管协议</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买方客户首付款存入资金监管账户</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买卖双方到交易中心办理交易</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银行凭收件收据将贷款放到资金监管专户</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交易中心完成过户，出新产证与他项权利证明</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监管资金划付卖家</w:t>
      </w:r>
    </w:p>
    <w:p w:rsidR="009642C4" w:rsidRDefault="009642C4" w:rsidP="009642C4">
      <w:pPr>
        <w:spacing w:line="0" w:lineRule="atLeast"/>
        <w:ind w:firstLine="709"/>
        <w:jc w:val="center"/>
        <w:rPr>
          <w:rFonts w:ascii="仿宋" w:eastAsia="仿宋" w:hAnsi="仿宋" w:cs="仿宋"/>
          <w:sz w:val="28"/>
          <w:szCs w:val="28"/>
        </w:rPr>
      </w:pPr>
    </w:p>
    <w:p w:rsidR="009642C4" w:rsidRDefault="009642C4" w:rsidP="009642C4">
      <w:pPr>
        <w:spacing w:line="0" w:lineRule="atLeast"/>
        <w:ind w:firstLine="709"/>
        <w:jc w:val="center"/>
        <w:rPr>
          <w:rFonts w:ascii="仿宋" w:eastAsia="仿宋" w:hAnsi="仿宋" w:cs="仿宋"/>
          <w:sz w:val="28"/>
          <w:szCs w:val="28"/>
        </w:rPr>
      </w:pPr>
    </w:p>
    <w:p w:rsidR="009642C4" w:rsidRDefault="009642C4" w:rsidP="009642C4">
      <w:pPr>
        <w:ind w:firstLine="709"/>
        <w:jc w:val="left"/>
        <w:rPr>
          <w:rFonts w:ascii="仿宋" w:eastAsia="仿宋" w:hAnsi="仿宋" w:cs="仿宋"/>
          <w:b/>
          <w:bCs/>
          <w:sz w:val="28"/>
          <w:szCs w:val="28"/>
        </w:rPr>
      </w:pPr>
      <w:r>
        <w:rPr>
          <w:rFonts w:ascii="仿宋" w:eastAsia="仿宋" w:hAnsi="仿宋" w:cs="仿宋" w:hint="eastAsia"/>
          <w:b/>
          <w:bCs/>
          <w:sz w:val="28"/>
          <w:szCs w:val="28"/>
        </w:rPr>
        <w:t>有抵押业务及流程介绍：</w:t>
      </w:r>
    </w:p>
    <w:p w:rsidR="009642C4" w:rsidRDefault="009642C4" w:rsidP="009642C4">
      <w:pPr>
        <w:ind w:firstLine="709"/>
        <w:rPr>
          <w:rFonts w:ascii="仿宋" w:eastAsia="仿宋" w:hAnsi="仿宋" w:cs="仿宋"/>
          <w:sz w:val="28"/>
          <w:szCs w:val="28"/>
        </w:rPr>
      </w:pPr>
      <w:r>
        <w:rPr>
          <w:rFonts w:ascii="仿宋" w:eastAsia="仿宋" w:hAnsi="仿宋" w:cs="仿宋" w:hint="eastAsia"/>
          <w:sz w:val="28"/>
          <w:szCs w:val="28"/>
        </w:rPr>
        <w:t>存在抵押的房产要上市交易的，无需先行还贷或垫付，即可实现抵押变更、转移登记及新抵押设立。即过户前交易房屋抵押未注销，交易双方签订《</w:t>
      </w:r>
      <w:r>
        <w:rPr>
          <w:rFonts w:ascii="仿宋" w:eastAsia="仿宋" w:hAnsi="仿宋" w:cs="仿宋" w:hint="eastAsia"/>
          <w:color w:val="000000"/>
          <w:sz w:val="28"/>
          <w:szCs w:val="28"/>
        </w:rPr>
        <w:t>存量房资金监管协议</w:t>
      </w:r>
      <w:r>
        <w:rPr>
          <w:rFonts w:ascii="仿宋" w:eastAsia="仿宋" w:hAnsi="仿宋" w:cs="仿宋" w:hint="eastAsia"/>
          <w:sz w:val="28"/>
          <w:szCs w:val="28"/>
        </w:rPr>
        <w:t>》并缴入监管资金，过户后待完成转移登记将监管资金划付至卖方抵押银行结清原有贷款并注销原有抵押后，余款再划付给卖方，如贷款资金监管需在过户后、转移登记前由贷款银行先行将贷款资金发放至监管账户。</w:t>
      </w:r>
    </w:p>
    <w:p w:rsidR="009642C4" w:rsidRDefault="009642C4" w:rsidP="009642C4">
      <w:pPr>
        <w:ind w:firstLine="709"/>
        <w:rPr>
          <w:rFonts w:ascii="仿宋" w:eastAsia="仿宋" w:hAnsi="仿宋" w:cs="仿宋"/>
          <w:sz w:val="28"/>
          <w:szCs w:val="28"/>
        </w:rPr>
      </w:pP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出售方取得抵押银行的征询函</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买卖双方签订买卖合同及资金监管协议</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买方客户监管款（自有资金）存入资金监管账户（若有）</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买方申请按揭贷款</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办理过户</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监管银行将贷款放款至监管账户（若有）</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确认监管资金全部到账</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完成过户并出产证</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归还卖方贷款，原银行出具注销材料</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办理房屋抵押注销</w:t>
      </w:r>
    </w:p>
    <w:p w:rsidR="009642C4" w:rsidRDefault="009642C4" w:rsidP="009642C4">
      <w:pPr>
        <w:spacing w:line="0" w:lineRule="atLeast"/>
        <w:ind w:firstLine="709"/>
        <w:jc w:val="center"/>
        <w:rPr>
          <w:rFonts w:ascii="仿宋" w:eastAsia="仿宋" w:hAnsi="仿宋" w:cs="仿宋"/>
          <w:sz w:val="28"/>
          <w:szCs w:val="28"/>
        </w:rPr>
      </w:pPr>
      <w:r>
        <w:rPr>
          <w:rFonts w:ascii="Arial" w:eastAsia="仿宋" w:hAnsi="Arial" w:cs="Arial"/>
          <w:sz w:val="28"/>
          <w:szCs w:val="28"/>
        </w:rPr>
        <w:t>↓</w:t>
      </w:r>
    </w:p>
    <w:p w:rsidR="009642C4" w:rsidRDefault="009642C4" w:rsidP="009642C4">
      <w:pPr>
        <w:spacing w:line="0" w:lineRule="atLeast"/>
        <w:ind w:firstLine="709"/>
        <w:jc w:val="center"/>
        <w:rPr>
          <w:rFonts w:ascii="仿宋" w:eastAsia="仿宋" w:hAnsi="仿宋" w:cs="仿宋"/>
          <w:sz w:val="28"/>
          <w:szCs w:val="28"/>
        </w:rPr>
      </w:pPr>
      <w:r>
        <w:rPr>
          <w:rFonts w:ascii="仿宋" w:eastAsia="仿宋" w:hAnsi="仿宋" w:cs="仿宋" w:hint="eastAsia"/>
          <w:sz w:val="28"/>
          <w:szCs w:val="28"/>
        </w:rPr>
        <w:t>划付监管尾款</w:t>
      </w:r>
    </w:p>
    <w:p w:rsidR="009642C4" w:rsidRDefault="009642C4" w:rsidP="009642C4">
      <w:pPr>
        <w:ind w:firstLine="709"/>
        <w:jc w:val="left"/>
        <w:rPr>
          <w:rFonts w:ascii="仿宋" w:eastAsia="仿宋" w:hAnsi="仿宋" w:cs="仿宋"/>
          <w:b/>
          <w:bCs/>
          <w:sz w:val="28"/>
          <w:szCs w:val="28"/>
        </w:rPr>
      </w:pPr>
    </w:p>
    <w:p w:rsidR="009642C4" w:rsidRDefault="009642C4" w:rsidP="009642C4">
      <w:pPr>
        <w:ind w:firstLine="709"/>
        <w:jc w:val="left"/>
        <w:rPr>
          <w:rFonts w:ascii="仿宋" w:eastAsia="仿宋" w:hAnsi="仿宋" w:cs="仿宋"/>
          <w:b/>
          <w:bCs/>
          <w:sz w:val="28"/>
          <w:szCs w:val="28"/>
        </w:rPr>
      </w:pPr>
      <w:r>
        <w:rPr>
          <w:rFonts w:ascii="仿宋" w:eastAsia="仿宋" w:hAnsi="仿宋" w:cs="仿宋" w:hint="eastAsia"/>
          <w:b/>
          <w:bCs/>
          <w:sz w:val="28"/>
          <w:szCs w:val="28"/>
        </w:rPr>
        <w:t>“</w:t>
      </w:r>
      <w:r w:rsidR="0072271C">
        <w:rPr>
          <w:rFonts w:ascii="仿宋" w:eastAsia="仿宋" w:hAnsi="仿宋" w:cs="仿宋" w:hint="eastAsia"/>
          <w:b/>
          <w:bCs/>
          <w:sz w:val="28"/>
          <w:szCs w:val="28"/>
        </w:rPr>
        <w:t>受理</w:t>
      </w:r>
      <w:bookmarkStart w:id="0" w:name="_GoBack"/>
      <w:bookmarkEnd w:id="0"/>
      <w:r>
        <w:rPr>
          <w:rFonts w:ascii="仿宋" w:eastAsia="仿宋" w:hAnsi="仿宋" w:cs="仿宋" w:hint="eastAsia"/>
          <w:b/>
          <w:bCs/>
          <w:sz w:val="28"/>
          <w:szCs w:val="28"/>
        </w:rPr>
        <w:t>材料”：</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1559"/>
        <w:gridCol w:w="1276"/>
      </w:tblGrid>
      <w:tr w:rsidR="009642C4" w:rsidTr="00C66947">
        <w:tc>
          <w:tcPr>
            <w:tcW w:w="5386" w:type="dxa"/>
            <w:tcBorders>
              <w:tl2br w:val="single" w:sz="4" w:space="0" w:color="auto"/>
            </w:tcBorders>
          </w:tcPr>
          <w:p w:rsidR="009642C4" w:rsidRDefault="009642C4" w:rsidP="00C66947">
            <w:pPr>
              <w:ind w:firstLineChars="1900" w:firstLine="4196"/>
              <w:jc w:val="left"/>
              <w:rPr>
                <w:rFonts w:ascii="仿宋" w:eastAsia="仿宋" w:hAnsi="仿宋"/>
                <w:b/>
                <w:bCs/>
                <w:sz w:val="22"/>
                <w:szCs w:val="22"/>
              </w:rPr>
            </w:pPr>
            <w:r>
              <w:rPr>
                <w:rFonts w:ascii="仿宋" w:eastAsia="仿宋" w:hAnsi="仿宋" w:hint="eastAsia"/>
                <w:b/>
                <w:bCs/>
                <w:sz w:val="22"/>
                <w:szCs w:val="22"/>
              </w:rPr>
              <w:t xml:space="preserve">收件材料业务类型              </w:t>
            </w:r>
          </w:p>
        </w:tc>
        <w:tc>
          <w:tcPr>
            <w:tcW w:w="1559" w:type="dxa"/>
            <w:vAlign w:val="center"/>
          </w:tcPr>
          <w:p w:rsidR="009642C4" w:rsidRDefault="009642C4" w:rsidP="00C66947">
            <w:pPr>
              <w:jc w:val="center"/>
              <w:rPr>
                <w:rFonts w:ascii="仿宋" w:eastAsia="仿宋" w:hAnsi="仿宋"/>
                <w:b/>
                <w:bCs/>
                <w:sz w:val="22"/>
                <w:szCs w:val="22"/>
              </w:rPr>
            </w:pPr>
            <w:r>
              <w:rPr>
                <w:rFonts w:ascii="仿宋" w:eastAsia="仿宋" w:hAnsi="仿宋" w:hint="eastAsia"/>
                <w:b/>
                <w:bCs/>
                <w:sz w:val="22"/>
                <w:szCs w:val="22"/>
              </w:rPr>
              <w:t>无抵押</w:t>
            </w:r>
          </w:p>
        </w:tc>
        <w:tc>
          <w:tcPr>
            <w:tcW w:w="1276" w:type="dxa"/>
            <w:vAlign w:val="center"/>
          </w:tcPr>
          <w:p w:rsidR="009642C4" w:rsidRDefault="009642C4" w:rsidP="00C66947">
            <w:pPr>
              <w:jc w:val="center"/>
              <w:rPr>
                <w:rFonts w:ascii="仿宋" w:eastAsia="仿宋" w:hAnsi="仿宋"/>
                <w:b/>
                <w:bCs/>
                <w:sz w:val="22"/>
                <w:szCs w:val="22"/>
              </w:rPr>
            </w:pPr>
            <w:r>
              <w:rPr>
                <w:rFonts w:ascii="仿宋" w:eastAsia="仿宋" w:hAnsi="仿宋" w:hint="eastAsia"/>
                <w:b/>
                <w:bCs/>
                <w:sz w:val="22"/>
                <w:szCs w:val="22"/>
              </w:rPr>
              <w:t>有抵押</w:t>
            </w: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t>当事人身份证明（原件及复印件）</w:t>
            </w:r>
          </w:p>
        </w:tc>
        <w:tc>
          <w:tcPr>
            <w:tcW w:w="1559"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c>
          <w:tcPr>
            <w:tcW w:w="1276"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t>委托书（原件）及代理人身份证明 （原件及复印件）</w:t>
            </w:r>
          </w:p>
        </w:tc>
        <w:tc>
          <w:tcPr>
            <w:tcW w:w="1559"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c>
          <w:tcPr>
            <w:tcW w:w="1276"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t>房屋产权证（原件及复印件）</w:t>
            </w:r>
          </w:p>
        </w:tc>
        <w:tc>
          <w:tcPr>
            <w:tcW w:w="1559"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c>
          <w:tcPr>
            <w:tcW w:w="1276"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t>买卖合同（原件）</w:t>
            </w:r>
          </w:p>
        </w:tc>
        <w:tc>
          <w:tcPr>
            <w:tcW w:w="1559"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c>
          <w:tcPr>
            <w:tcW w:w="1276"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t>出售方贷款还款卡（原件及复印件）</w:t>
            </w:r>
          </w:p>
        </w:tc>
        <w:tc>
          <w:tcPr>
            <w:tcW w:w="1559" w:type="dxa"/>
            <w:vAlign w:val="center"/>
          </w:tcPr>
          <w:p w:rsidR="009642C4" w:rsidRDefault="009642C4" w:rsidP="00C66947">
            <w:pPr>
              <w:jc w:val="center"/>
              <w:rPr>
                <w:rFonts w:ascii="仿宋" w:eastAsia="仿宋" w:hAnsi="仿宋"/>
              </w:rPr>
            </w:pPr>
          </w:p>
        </w:tc>
        <w:tc>
          <w:tcPr>
            <w:tcW w:w="1276"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t>出售方收款账户（账户应在本市开立，并具有通存通兑及结算功能）</w:t>
            </w:r>
          </w:p>
        </w:tc>
        <w:tc>
          <w:tcPr>
            <w:tcW w:w="1559"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c>
          <w:tcPr>
            <w:tcW w:w="1276" w:type="dxa"/>
            <w:vAlign w:val="center"/>
          </w:tcPr>
          <w:p w:rsidR="009642C4" w:rsidRDefault="009642C4" w:rsidP="00C66947">
            <w:pPr>
              <w:jc w:val="center"/>
              <w:rPr>
                <w:rFonts w:ascii="仿宋" w:eastAsia="仿宋" w:hAnsi="仿宋"/>
              </w:rPr>
            </w:pP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lastRenderedPageBreak/>
              <w:t>最近一期还款对账单（原件）</w:t>
            </w:r>
          </w:p>
        </w:tc>
        <w:tc>
          <w:tcPr>
            <w:tcW w:w="1559" w:type="dxa"/>
            <w:vAlign w:val="center"/>
          </w:tcPr>
          <w:p w:rsidR="009642C4" w:rsidRDefault="009642C4" w:rsidP="00C66947">
            <w:pPr>
              <w:jc w:val="center"/>
              <w:rPr>
                <w:rFonts w:ascii="仿宋" w:eastAsia="仿宋" w:hAnsi="仿宋"/>
              </w:rPr>
            </w:pPr>
          </w:p>
        </w:tc>
        <w:tc>
          <w:tcPr>
            <w:tcW w:w="1276"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t>买受方退款卡（账户应在本市开立，并具有通存通兑及结算功能）</w:t>
            </w:r>
          </w:p>
        </w:tc>
        <w:tc>
          <w:tcPr>
            <w:tcW w:w="1559"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c>
          <w:tcPr>
            <w:tcW w:w="1276"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t>《个人住房转让贷款提前还款征询函》（原件）</w:t>
            </w:r>
          </w:p>
        </w:tc>
        <w:tc>
          <w:tcPr>
            <w:tcW w:w="1559" w:type="dxa"/>
            <w:vAlign w:val="center"/>
          </w:tcPr>
          <w:p w:rsidR="009642C4" w:rsidRDefault="009642C4" w:rsidP="00C66947">
            <w:pPr>
              <w:jc w:val="center"/>
              <w:rPr>
                <w:rFonts w:ascii="仿宋" w:eastAsia="仿宋" w:hAnsi="仿宋"/>
              </w:rPr>
            </w:pPr>
          </w:p>
        </w:tc>
        <w:tc>
          <w:tcPr>
            <w:tcW w:w="1276"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r>
      <w:tr w:rsidR="009642C4" w:rsidTr="00C66947">
        <w:tc>
          <w:tcPr>
            <w:tcW w:w="5386" w:type="dxa"/>
            <w:vAlign w:val="center"/>
          </w:tcPr>
          <w:p w:rsidR="009642C4" w:rsidRDefault="009642C4" w:rsidP="00C66947">
            <w:pPr>
              <w:jc w:val="left"/>
              <w:rPr>
                <w:rFonts w:ascii="仿宋" w:eastAsia="仿宋" w:hAnsi="仿宋"/>
              </w:rPr>
            </w:pPr>
            <w:r>
              <w:rPr>
                <w:rFonts w:ascii="仿宋" w:eastAsia="仿宋" w:hAnsi="仿宋" w:hint="eastAsia"/>
              </w:rPr>
              <w:t>收款人非房屋产权人需提供委托收款公证书（原件）</w:t>
            </w:r>
          </w:p>
        </w:tc>
        <w:tc>
          <w:tcPr>
            <w:tcW w:w="1559"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c>
          <w:tcPr>
            <w:tcW w:w="1276" w:type="dxa"/>
            <w:vAlign w:val="center"/>
          </w:tcPr>
          <w:p w:rsidR="009642C4" w:rsidRDefault="009642C4" w:rsidP="00C66947">
            <w:pPr>
              <w:jc w:val="center"/>
              <w:rPr>
                <w:rFonts w:ascii="仿宋" w:eastAsia="仿宋" w:hAnsi="仿宋"/>
              </w:rPr>
            </w:pPr>
            <w:r>
              <w:rPr>
                <w:rFonts w:ascii="仿宋" w:eastAsia="仿宋" w:hAnsi="仿宋" w:cs="仿宋" w:hint="eastAsia"/>
                <w:sz w:val="28"/>
                <w:szCs w:val="28"/>
              </w:rPr>
              <w:t>●</w:t>
            </w:r>
          </w:p>
        </w:tc>
      </w:tr>
    </w:tbl>
    <w:p w:rsidR="004073B3" w:rsidRDefault="0072271C"/>
    <w:sectPr w:rsidR="004073B3" w:rsidSect="000F48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1C" w:rsidRDefault="0072271C" w:rsidP="0072271C">
      <w:r>
        <w:separator/>
      </w:r>
    </w:p>
  </w:endnote>
  <w:endnote w:type="continuationSeparator" w:id="0">
    <w:p w:rsidR="0072271C" w:rsidRDefault="0072271C" w:rsidP="0072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1C" w:rsidRDefault="0072271C" w:rsidP="0072271C">
      <w:r>
        <w:separator/>
      </w:r>
    </w:p>
  </w:footnote>
  <w:footnote w:type="continuationSeparator" w:id="0">
    <w:p w:rsidR="0072271C" w:rsidRDefault="0072271C" w:rsidP="00722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42C4"/>
    <w:rsid w:val="000F4812"/>
    <w:rsid w:val="002F1716"/>
    <w:rsid w:val="0072271C"/>
    <w:rsid w:val="009642C4"/>
    <w:rsid w:val="00E2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495648A3-091F-4016-9756-9980D037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2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71C"/>
    <w:rPr>
      <w:rFonts w:ascii="Times New Roman" w:eastAsia="宋体" w:hAnsi="Times New Roman" w:cs="Times New Roman"/>
      <w:sz w:val="18"/>
      <w:szCs w:val="18"/>
    </w:rPr>
  </w:style>
  <w:style w:type="paragraph" w:styleId="a4">
    <w:name w:val="footer"/>
    <w:basedOn w:val="a"/>
    <w:link w:val="Char0"/>
    <w:uiPriority w:val="99"/>
    <w:unhideWhenUsed/>
    <w:rsid w:val="0072271C"/>
    <w:pPr>
      <w:tabs>
        <w:tab w:val="center" w:pos="4153"/>
        <w:tab w:val="right" w:pos="8306"/>
      </w:tabs>
      <w:snapToGrid w:val="0"/>
      <w:jc w:val="left"/>
    </w:pPr>
    <w:rPr>
      <w:sz w:val="18"/>
      <w:szCs w:val="18"/>
    </w:rPr>
  </w:style>
  <w:style w:type="character" w:customStyle="1" w:styleId="Char0">
    <w:name w:val="页脚 Char"/>
    <w:basedOn w:val="a0"/>
    <w:link w:val="a4"/>
    <w:uiPriority w:val="99"/>
    <w:rsid w:val="0072271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gujin</dc:creator>
  <cp:lastModifiedBy>lyj</cp:lastModifiedBy>
  <cp:revision>2</cp:revision>
  <dcterms:created xsi:type="dcterms:W3CDTF">2023-03-28T07:51:00Z</dcterms:created>
  <dcterms:modified xsi:type="dcterms:W3CDTF">2023-04-03T08:34:00Z</dcterms:modified>
</cp:coreProperties>
</file>